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E52E" w14:textId="77EE0C68" w:rsidR="008A1A31" w:rsidRPr="008A1A31" w:rsidRDefault="008A1A31" w:rsidP="008A1A31">
      <w:pPr>
        <w:pStyle w:val="Titolo3"/>
        <w:spacing w:before="120" w:after="120"/>
        <w:rPr>
          <w:i/>
          <w:iCs/>
          <w:color w:val="008F4A"/>
        </w:rPr>
      </w:pPr>
      <w:r w:rsidRPr="008A1A31">
        <w:rPr>
          <w:i/>
          <w:iCs/>
          <w:color w:val="008F4A"/>
        </w:rPr>
        <w:t>Obiettivi strategici</w:t>
      </w:r>
      <w:r w:rsidRPr="008A1A31">
        <w:rPr>
          <w:i/>
          <w:iCs/>
          <w:color w:val="008F4A"/>
        </w:rPr>
        <w:t xml:space="preserve"> in materia di prevenzione della corruzione e della trasparenza triennio 2025-2027</w:t>
      </w:r>
    </w:p>
    <w:p w14:paraId="63E5002F" w14:textId="77777777" w:rsidR="008A1A31" w:rsidRPr="00CD622B" w:rsidRDefault="008A1A31" w:rsidP="008A1A31">
      <w:pPr>
        <w:spacing w:before="120" w:after="120"/>
        <w:jc w:val="both"/>
        <w:rPr>
          <w:color w:val="000000"/>
          <w:sz w:val="22"/>
          <w:szCs w:val="22"/>
        </w:rPr>
      </w:pPr>
      <w:r w:rsidRPr="00CD622B">
        <w:rPr>
          <w:color w:val="000000"/>
          <w:sz w:val="22"/>
          <w:szCs w:val="22"/>
        </w:rPr>
        <w:t xml:space="preserve">Ai sensi dell’art. 1, comma 8, L. 190/2012, come modificato dal D. Lgs. 25 maggio 2016, n. 97, </w:t>
      </w:r>
      <w:r w:rsidRPr="00CD622B">
        <w:rPr>
          <w:i/>
          <w:color w:val="000000"/>
          <w:sz w:val="22"/>
          <w:szCs w:val="22"/>
        </w:rPr>
        <w:t>“L'organo di indirizzo definisce gli obiettivi strategici in materia di prevenzione della corruzione e trasparenza, che costituiscono contenuto necessario dei documenti di programmazione strategico-gestionale e del Piano triennale per la prevenzione della corruzione”</w:t>
      </w:r>
      <w:r w:rsidRPr="00CD622B">
        <w:rPr>
          <w:color w:val="000000"/>
          <w:sz w:val="22"/>
          <w:szCs w:val="22"/>
        </w:rPr>
        <w:t xml:space="preserve">. </w:t>
      </w:r>
    </w:p>
    <w:p w14:paraId="6344E92F" w14:textId="0BF9AFF9" w:rsidR="008A1A31" w:rsidRDefault="008A1A31" w:rsidP="008A1A31">
      <w:pPr>
        <w:spacing w:before="120" w:after="120"/>
        <w:jc w:val="both"/>
        <w:rPr>
          <w:color w:val="000000"/>
          <w:sz w:val="22"/>
          <w:szCs w:val="22"/>
        </w:rPr>
      </w:pPr>
      <w:r w:rsidRPr="00CD622B">
        <w:rPr>
          <w:color w:val="000000"/>
          <w:sz w:val="22"/>
          <w:szCs w:val="22"/>
        </w:rPr>
        <w:t xml:space="preserve">In esito all’attività di confronto con il RPCT, tenuto conto delle priorità e dei reali fabbisogni ai fini della piena implementazione del sistema di controllo interno e delle azioni richieste dalla disciplina in esame, il </w:t>
      </w:r>
      <w:proofErr w:type="spellStart"/>
      <w:r w:rsidRPr="00CD622B">
        <w:rPr>
          <w:color w:val="000000"/>
          <w:sz w:val="22"/>
          <w:szCs w:val="22"/>
        </w:rPr>
        <w:t>CdA</w:t>
      </w:r>
      <w:proofErr w:type="spellEnd"/>
      <w:r w:rsidRPr="00CD622B">
        <w:rPr>
          <w:color w:val="000000"/>
          <w:sz w:val="22"/>
          <w:szCs w:val="22"/>
        </w:rPr>
        <w:t xml:space="preserve"> di FOM</w:t>
      </w:r>
      <w:r>
        <w:rPr>
          <w:color w:val="000000"/>
          <w:sz w:val="22"/>
          <w:szCs w:val="22"/>
        </w:rPr>
        <w:t xml:space="preserve"> </w:t>
      </w:r>
      <w:r w:rsidRPr="00CD622B">
        <w:rPr>
          <w:color w:val="000000"/>
          <w:sz w:val="22"/>
          <w:szCs w:val="22"/>
        </w:rPr>
        <w:t>ha individuato, con riferimento al triennio 2025 – 2027 i seguenti obiettivi strategici:</w:t>
      </w:r>
    </w:p>
    <w:p w14:paraId="38BEDB31" w14:textId="77777777" w:rsidR="008A1A31" w:rsidRPr="00CD622B" w:rsidRDefault="008A1A31" w:rsidP="008A1A31">
      <w:pPr>
        <w:spacing w:before="120" w:after="120"/>
        <w:jc w:val="both"/>
        <w:rPr>
          <w:color w:val="000000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4286"/>
        <w:gridCol w:w="4728"/>
      </w:tblGrid>
      <w:tr w:rsidR="008A1A31" w:rsidRPr="00CD622B" w14:paraId="7C109F4D" w14:textId="77777777" w:rsidTr="00EE40FF">
        <w:trPr>
          <w:trHeight w:val="987"/>
          <w:tblHeader/>
          <w:jc w:val="center"/>
        </w:trPr>
        <w:tc>
          <w:tcPr>
            <w:tcW w:w="4286" w:type="dxa"/>
            <w:shd w:val="clear" w:color="auto" w:fill="112E74"/>
            <w:vAlign w:val="center"/>
          </w:tcPr>
          <w:p w14:paraId="65B28F4E" w14:textId="77777777" w:rsidR="008A1A31" w:rsidRPr="00CD622B" w:rsidRDefault="008A1A31" w:rsidP="00EE40FF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b/>
                <w:color w:val="FFFFFF" w:themeColor="background1"/>
                <w:spacing w:val="2"/>
                <w:sz w:val="21"/>
                <w:szCs w:val="22"/>
              </w:rPr>
            </w:pPr>
            <w:r w:rsidRPr="00CD622B">
              <w:rPr>
                <w:b/>
                <w:color w:val="FFFFFF" w:themeColor="background1"/>
                <w:spacing w:val="2"/>
                <w:sz w:val="21"/>
                <w:szCs w:val="22"/>
              </w:rPr>
              <w:t>OBIETTIVI</w:t>
            </w:r>
          </w:p>
          <w:p w14:paraId="0E309E5F" w14:textId="77777777" w:rsidR="008A1A31" w:rsidRPr="00CD622B" w:rsidRDefault="008A1A31" w:rsidP="00EE40FF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b/>
                <w:color w:val="FFFFFF" w:themeColor="background1"/>
                <w:spacing w:val="2"/>
                <w:sz w:val="21"/>
                <w:szCs w:val="22"/>
              </w:rPr>
            </w:pPr>
            <w:r w:rsidRPr="00CD622B">
              <w:rPr>
                <w:b/>
                <w:color w:val="FFFFFF" w:themeColor="background1"/>
                <w:spacing w:val="2"/>
                <w:sz w:val="21"/>
                <w:szCs w:val="22"/>
              </w:rPr>
              <w:t>PREVENZIONE DELLA CORRUZIONE</w:t>
            </w:r>
          </w:p>
        </w:tc>
        <w:tc>
          <w:tcPr>
            <w:tcW w:w="4728" w:type="dxa"/>
            <w:shd w:val="clear" w:color="auto" w:fill="112E74"/>
            <w:vAlign w:val="center"/>
          </w:tcPr>
          <w:p w14:paraId="7A385FBA" w14:textId="77777777" w:rsidR="008A1A31" w:rsidRPr="00CD622B" w:rsidRDefault="008A1A31" w:rsidP="00EE40FF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b/>
                <w:color w:val="FFFFFF" w:themeColor="background1"/>
                <w:spacing w:val="2"/>
                <w:sz w:val="21"/>
                <w:szCs w:val="22"/>
              </w:rPr>
            </w:pPr>
            <w:r w:rsidRPr="00CD622B">
              <w:rPr>
                <w:b/>
                <w:color w:val="FFFFFF" w:themeColor="background1"/>
                <w:spacing w:val="2"/>
                <w:sz w:val="21"/>
                <w:szCs w:val="22"/>
              </w:rPr>
              <w:t>OBIETTIVI</w:t>
            </w:r>
          </w:p>
          <w:p w14:paraId="5FBD4BC5" w14:textId="77777777" w:rsidR="008A1A31" w:rsidRPr="00CD622B" w:rsidRDefault="008A1A31" w:rsidP="00EE40FF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b/>
                <w:color w:val="FFFFFF" w:themeColor="background1"/>
                <w:spacing w:val="2"/>
                <w:sz w:val="21"/>
                <w:szCs w:val="22"/>
              </w:rPr>
            </w:pPr>
            <w:r w:rsidRPr="00CD622B">
              <w:rPr>
                <w:b/>
                <w:color w:val="FFFFFF" w:themeColor="background1"/>
                <w:spacing w:val="2"/>
                <w:sz w:val="21"/>
                <w:szCs w:val="22"/>
              </w:rPr>
              <w:t>TRASPARENZA AMMINISTRATIVA</w:t>
            </w:r>
          </w:p>
        </w:tc>
      </w:tr>
      <w:tr w:rsidR="008A1A31" w:rsidRPr="00CD622B" w14:paraId="559315CE" w14:textId="77777777" w:rsidTr="00EE40FF">
        <w:trPr>
          <w:trHeight w:val="660"/>
          <w:jc w:val="center"/>
        </w:trPr>
        <w:tc>
          <w:tcPr>
            <w:tcW w:w="4286" w:type="dxa"/>
            <w:shd w:val="clear" w:color="auto" w:fill="FFFFFF" w:themeFill="background1"/>
            <w:vAlign w:val="center"/>
          </w:tcPr>
          <w:p w14:paraId="24BC4BE7" w14:textId="77777777" w:rsidR="008A1A31" w:rsidRPr="00CD622B" w:rsidRDefault="008A1A31" w:rsidP="00EE40F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 w:themeColor="text1"/>
              </w:rPr>
            </w:pPr>
            <w:r w:rsidRPr="00CD622B">
              <w:rPr>
                <w:i/>
                <w:iCs/>
                <w:color w:val="000000" w:themeColor="text1"/>
              </w:rPr>
              <w:t>Prosecuzione del percorso di integrazione tra sistema di monitoraggio del PIAO, il monitoraggio in ordine all’attuazione del MOG 231 e gli ulteriori presidi di cui si è dotata la Fondazione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14:paraId="66B8AB5E" w14:textId="77777777" w:rsidR="008A1A31" w:rsidRPr="00CD622B" w:rsidRDefault="008A1A31" w:rsidP="00EE40FF">
            <w:pPr>
              <w:spacing w:before="120" w:after="120"/>
              <w:jc w:val="center"/>
              <w:rPr>
                <w:i/>
                <w:iCs/>
                <w:color w:val="000000" w:themeColor="text1"/>
              </w:rPr>
            </w:pPr>
            <w:r w:rsidRPr="00CD622B">
              <w:rPr>
                <w:i/>
                <w:iCs/>
                <w:color w:val="000000" w:themeColor="text1"/>
              </w:rPr>
              <w:t>Miglioramento dell’organizzazione dei flussi informativi e della comunicazione al proprio interno e verso l’esterno</w:t>
            </w:r>
          </w:p>
        </w:tc>
      </w:tr>
      <w:tr w:rsidR="008A1A31" w:rsidRPr="00CD622B" w14:paraId="4869B0FE" w14:textId="77777777" w:rsidTr="00EE40FF">
        <w:trPr>
          <w:trHeight w:val="660"/>
          <w:jc w:val="center"/>
        </w:trPr>
        <w:tc>
          <w:tcPr>
            <w:tcW w:w="4286" w:type="dxa"/>
            <w:shd w:val="clear" w:color="auto" w:fill="auto"/>
            <w:vAlign w:val="center"/>
          </w:tcPr>
          <w:p w14:paraId="06B865D1" w14:textId="77777777" w:rsidR="008A1A31" w:rsidRPr="00CD622B" w:rsidRDefault="008A1A31" w:rsidP="00EE40FF">
            <w:pPr>
              <w:spacing w:before="120" w:after="120"/>
              <w:jc w:val="center"/>
              <w:rPr>
                <w:bCs/>
                <w:i/>
                <w:color w:val="000000"/>
              </w:rPr>
            </w:pPr>
            <w:r w:rsidRPr="00CD622B">
              <w:rPr>
                <w:i/>
                <w:iCs/>
                <w:color w:val="000000" w:themeColor="text1"/>
              </w:rPr>
              <w:t xml:space="preserve">Prosecuzione dei percorsi di formazione - di livello generale e specifico - in materia di prevenzione della corruzione, anche in raccordo alla disciplina di cui al </w:t>
            </w:r>
            <w:proofErr w:type="spellStart"/>
            <w:r w:rsidRPr="00CD622B">
              <w:rPr>
                <w:i/>
                <w:iCs/>
                <w:color w:val="000000" w:themeColor="text1"/>
              </w:rPr>
              <w:t>D.Lgs.</w:t>
            </w:r>
            <w:proofErr w:type="spellEnd"/>
            <w:r w:rsidRPr="00CD622B">
              <w:rPr>
                <w:i/>
                <w:iCs/>
                <w:color w:val="000000" w:themeColor="text1"/>
              </w:rPr>
              <w:t xml:space="preserve"> n. 231/2001, verticalizzando, per l’anno 2021, sui temi del risk management.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6B26BE91" w14:textId="77777777" w:rsidR="008A1A31" w:rsidRPr="00CD622B" w:rsidRDefault="008A1A31" w:rsidP="00EE40FF">
            <w:pPr>
              <w:spacing w:before="120" w:after="120"/>
              <w:jc w:val="center"/>
              <w:rPr>
                <w:i/>
                <w:color w:val="000000"/>
              </w:rPr>
            </w:pPr>
            <w:r w:rsidRPr="00CD622B">
              <w:rPr>
                <w:i/>
                <w:iCs/>
                <w:color w:val="000000" w:themeColor="text1"/>
              </w:rPr>
              <w:t xml:space="preserve">Prosecuzione dei percorsi di formazione - di livello generale e specifico - in materia di trasparenza amministrativa, obblighi di pubblicazione e accesso civico (semplice e generalizzato), anche in raccordo alla disciplina di cui al </w:t>
            </w:r>
            <w:proofErr w:type="spellStart"/>
            <w:r w:rsidRPr="00CD622B">
              <w:rPr>
                <w:i/>
                <w:iCs/>
                <w:color w:val="000000" w:themeColor="text1"/>
              </w:rPr>
              <w:t>D.Lgs.</w:t>
            </w:r>
            <w:proofErr w:type="spellEnd"/>
            <w:r w:rsidRPr="00CD622B">
              <w:rPr>
                <w:i/>
                <w:iCs/>
                <w:color w:val="000000" w:themeColor="text1"/>
              </w:rPr>
              <w:t xml:space="preserve"> n. 231/2001</w:t>
            </w:r>
          </w:p>
        </w:tc>
      </w:tr>
      <w:tr w:rsidR="008A1A31" w:rsidRPr="00CD622B" w14:paraId="1774C6E7" w14:textId="77777777" w:rsidTr="00EE40FF">
        <w:trPr>
          <w:trHeight w:val="660"/>
          <w:jc w:val="center"/>
        </w:trPr>
        <w:tc>
          <w:tcPr>
            <w:tcW w:w="4286" w:type="dxa"/>
            <w:shd w:val="clear" w:color="auto" w:fill="auto"/>
            <w:vAlign w:val="center"/>
          </w:tcPr>
          <w:p w14:paraId="19B7E4E8" w14:textId="77777777" w:rsidR="008A1A31" w:rsidRPr="00CD622B" w:rsidRDefault="008A1A31" w:rsidP="00EE40FF">
            <w:pPr>
              <w:spacing w:before="120" w:after="120"/>
              <w:jc w:val="center"/>
              <w:rPr>
                <w:i/>
                <w:iCs/>
                <w:color w:val="000000" w:themeColor="text1"/>
              </w:rPr>
            </w:pPr>
            <w:r w:rsidRPr="00CD622B">
              <w:rPr>
                <w:i/>
                <w:iCs/>
                <w:color w:val="000000" w:themeColor="text1"/>
              </w:rPr>
              <w:t>Verifica di aggiornamento della procedura aziendale di whistleblowing sulla base delle rinnovate Linee Guida di A.N.AC. 2024 in tema di canali interni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3ED54996" w14:textId="77777777" w:rsidR="008A1A31" w:rsidRPr="00CD622B" w:rsidRDefault="008A1A31" w:rsidP="00EE40FF">
            <w:pPr>
              <w:spacing w:before="120" w:after="120"/>
              <w:jc w:val="center"/>
              <w:rPr>
                <w:i/>
                <w:iCs/>
                <w:color w:val="000000" w:themeColor="text1"/>
              </w:rPr>
            </w:pPr>
            <w:r w:rsidRPr="00CD622B">
              <w:rPr>
                <w:i/>
                <w:iCs/>
                <w:color w:val="000000" w:themeColor="text1"/>
              </w:rPr>
              <w:t>Aggiornamento del portale di «Società Trasparente» alla luce dei nuovi schemi sulla trasparenza diramati dall’A.N.AC. con la delibera n. 495/2024</w:t>
            </w:r>
          </w:p>
        </w:tc>
      </w:tr>
    </w:tbl>
    <w:p w14:paraId="65A9715A" w14:textId="77777777" w:rsidR="0012578E" w:rsidRDefault="0012578E"/>
    <w:sectPr w:rsidR="00125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31"/>
    <w:rsid w:val="0012578E"/>
    <w:rsid w:val="007F09DB"/>
    <w:rsid w:val="008A1A31"/>
    <w:rsid w:val="00A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59ED"/>
  <w15:chartTrackingRefBased/>
  <w15:docId w15:val="{B77C51C5-BCA8-48C7-8411-8FB18A3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A3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A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A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nhideWhenUsed/>
    <w:qFormat/>
    <w:rsid w:val="008A1A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A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A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A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A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A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A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8A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A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A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A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A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A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A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A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A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A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A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A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A1A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A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A3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8A1A31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Manzone</dc:creator>
  <cp:keywords/>
  <dc:description/>
  <cp:lastModifiedBy>Mirella Manzone</cp:lastModifiedBy>
  <cp:revision>1</cp:revision>
  <dcterms:created xsi:type="dcterms:W3CDTF">2025-05-06T13:27:00Z</dcterms:created>
  <dcterms:modified xsi:type="dcterms:W3CDTF">2025-05-06T13:30:00Z</dcterms:modified>
</cp:coreProperties>
</file>